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5F81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附件</w:t>
      </w:r>
      <w:r>
        <w:rPr>
          <w:rFonts w:hint="eastAsia" w:ascii="方正小标宋简体" w:hAnsi="方正小标宋简体" w:eastAsia="方正小标宋简体" w:cs="方正小标宋简体"/>
          <w:sz w:val="32"/>
          <w:szCs w:val="32"/>
          <w:lang w:val="en-US" w:eastAsia="zh-CN"/>
        </w:rPr>
        <w:t>5</w:t>
      </w:r>
      <w:r>
        <w:rPr>
          <w:rFonts w:hint="eastAsia" w:ascii="方正小标宋简体" w:hAnsi="方正小标宋简体" w:eastAsia="方正小标宋简体" w:cs="方正小标宋简体"/>
          <w:sz w:val="32"/>
          <w:szCs w:val="32"/>
        </w:rPr>
        <w:t>：</w:t>
      </w:r>
    </w:p>
    <w:p w14:paraId="58A938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酉阳土家族苗族自治县人民医院</w:t>
      </w:r>
    </w:p>
    <w:p w14:paraId="4EE487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分子病理检验外送服务履约考核办法</w:t>
      </w:r>
    </w:p>
    <w:p w14:paraId="0646DC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第一章 总则</w:t>
      </w:r>
    </w:p>
    <w:p w14:paraId="420EA1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rPr>
        <w:t>考核目的</w:t>
      </w:r>
    </w:p>
    <w:p w14:paraId="4D2A7B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规范酉阳土家族苗族自治县人民医院分子病理检验外送服务项目的履约管理，确保检验质量、报告时效及生物安全，保障临床诊疗工作的顺利开展，根据《酉阳土家族苗族自治县人民医院分子病理检验外送服务竞争性磋商文件》（以下简称“磋商文件”）及双方签订的服务合同，特制定本办法。</w:t>
      </w:r>
    </w:p>
    <w:p w14:paraId="166B29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lang w:val="en-US" w:eastAsia="zh-CN"/>
        </w:rPr>
        <w:t>、</w:t>
      </w:r>
      <w:r>
        <w:rPr>
          <w:rFonts w:hint="eastAsia" w:ascii="方正楷体_GBK" w:hAnsi="方正楷体_GBK" w:eastAsia="方正楷体_GBK" w:cs="方正楷体_GBK"/>
          <w:sz w:val="32"/>
          <w:szCs w:val="32"/>
        </w:rPr>
        <w:t>考核原则</w:t>
      </w:r>
    </w:p>
    <w:p w14:paraId="526DA8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考核工作遵循“客观公正、量化评价、注重实效、持续改进”的原则。考核结果将作为采购人支付服务费用、决定是否续签合同及追究违约责任的重要依据。</w:t>
      </w:r>
    </w:p>
    <w:p w14:paraId="054FA5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三</w:t>
      </w:r>
      <w:r>
        <w:rPr>
          <w:rFonts w:hint="eastAsia" w:ascii="方正楷体_GBK" w:hAnsi="方正楷体_GBK" w:eastAsia="方正楷体_GBK" w:cs="方正楷体_GBK"/>
          <w:sz w:val="32"/>
          <w:szCs w:val="32"/>
          <w:lang w:val="en-US" w:eastAsia="zh-CN"/>
        </w:rPr>
        <w:t>、</w:t>
      </w:r>
      <w:r>
        <w:rPr>
          <w:rFonts w:hint="eastAsia" w:ascii="方正楷体_GBK" w:hAnsi="方正楷体_GBK" w:eastAsia="方正楷体_GBK" w:cs="方正楷体_GBK"/>
          <w:sz w:val="32"/>
          <w:szCs w:val="32"/>
        </w:rPr>
        <w:t>考核周期</w:t>
      </w:r>
    </w:p>
    <w:p w14:paraId="355391D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highlight w:val="yellow"/>
        </w:rPr>
      </w:pPr>
      <w:r>
        <w:rPr>
          <w:rFonts w:hint="eastAsia" w:ascii="方正仿宋_GBK" w:hAnsi="方正仿宋_GBK" w:eastAsia="方正仿宋_GBK" w:cs="方正仿宋_GBK"/>
          <w:sz w:val="32"/>
          <w:szCs w:val="32"/>
        </w:rPr>
        <w:t>本项目实行“月度监测、季度考核、年度总评”的考核机制。每月对报告时效、标本流转等基础数据进行统计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highlight w:val="none"/>
        </w:rPr>
        <w:t>每季度末月25日前，由采购人组织相关科室对供应商上一季度的履约情况进行综合评分。每服务年度届满前30日内，结合四个季度的考核结果进行年度综合评定。</w:t>
      </w:r>
    </w:p>
    <w:p w14:paraId="0EE8F4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第二章 考核内容与评分标准</w:t>
      </w:r>
    </w:p>
    <w:p w14:paraId="4EC9CC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rPr>
        <w:t>考核指标体系</w:t>
      </w:r>
      <w:bookmarkStart w:id="0" w:name="_GoBack"/>
      <w:bookmarkEnd w:id="0"/>
    </w:p>
    <w:p w14:paraId="548E20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考核实行百分制，具体指标及扣分标准如下：</w:t>
      </w:r>
    </w:p>
    <w:p w14:paraId="66D79AE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检测时效与响应（30分）</w:t>
      </w:r>
    </w:p>
    <w:p w14:paraId="17E8B9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①</w:t>
      </w:r>
      <w:r>
        <w:rPr>
          <w:rFonts w:hint="default" w:ascii="Times New Roman" w:hAnsi="Times New Roman" w:eastAsia="方正仿宋_GBK" w:cs="Times New Roman"/>
          <w:sz w:val="32"/>
          <w:szCs w:val="32"/>
        </w:rPr>
        <w:t>常规项目未能在承诺工作日内出具报告的，每延迟1个工作日扣2分；延迟3个工作日及以上的，该项不得分。</w:t>
      </w:r>
    </w:p>
    <w:p w14:paraId="376A32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②</w:t>
      </w:r>
      <w:r>
        <w:rPr>
          <w:rFonts w:hint="default" w:ascii="Times New Roman" w:hAnsi="Times New Roman" w:eastAsia="方正仿宋_GBK" w:cs="Times New Roman"/>
          <w:sz w:val="32"/>
          <w:szCs w:val="32"/>
        </w:rPr>
        <w:t>疑难/特殊病例未提前主动沟通说明延误原因的，每次扣5分。</w:t>
      </w:r>
    </w:p>
    <w:p w14:paraId="3B4047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③</w:t>
      </w:r>
      <w:r>
        <w:rPr>
          <w:rFonts w:hint="default" w:ascii="Times New Roman" w:hAnsi="Times New Roman" w:eastAsia="方正仿宋_GBK" w:cs="Times New Roman"/>
          <w:sz w:val="32"/>
          <w:szCs w:val="32"/>
        </w:rPr>
        <w:t>临床科室对报告时效提出合理投诉并查实的，每次扣3分。</w:t>
      </w:r>
    </w:p>
    <w:p w14:paraId="0B614B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检验质量与质控（30分）</w:t>
      </w:r>
    </w:p>
    <w:p w14:paraId="2C5E28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①</w:t>
      </w:r>
      <w:r>
        <w:rPr>
          <w:rFonts w:hint="default" w:ascii="Times New Roman" w:hAnsi="Times New Roman" w:eastAsia="方正仿宋_GBK" w:cs="Times New Roman"/>
          <w:sz w:val="32"/>
          <w:szCs w:val="32"/>
        </w:rPr>
        <w:t>未按时参加国家或省级临床检验中心室间质评（EQA）的，每次扣10分；室间质评成绩不合格的，每次扣15分。</w:t>
      </w:r>
    </w:p>
    <w:p w14:paraId="5422994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②</w:t>
      </w:r>
      <w:r>
        <w:rPr>
          <w:rFonts w:hint="default" w:ascii="Times New Roman" w:hAnsi="Times New Roman" w:eastAsia="方正仿宋_GBK" w:cs="Times New Roman"/>
          <w:sz w:val="32"/>
          <w:szCs w:val="32"/>
        </w:rPr>
        <w:t>发生因检验结果错误导致临床误诊、漏诊等医疗不良事件的，本项直接扣30分，并按重大违约处理。</w:t>
      </w:r>
    </w:p>
    <w:p w14:paraId="0B657C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标本流转与冷链安全（20分）</w:t>
      </w:r>
    </w:p>
    <w:p w14:paraId="1955BA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①</w:t>
      </w:r>
      <w:r>
        <w:rPr>
          <w:rFonts w:hint="default" w:ascii="Times New Roman" w:hAnsi="Times New Roman" w:eastAsia="方正仿宋_GBK" w:cs="Times New Roman"/>
          <w:sz w:val="32"/>
          <w:szCs w:val="32"/>
        </w:rPr>
        <w:t>标本交接登记不规范、信息核对有误的，每次扣2分。</w:t>
      </w:r>
    </w:p>
    <w:p w14:paraId="250D63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②</w:t>
      </w:r>
      <w:r>
        <w:rPr>
          <w:rFonts w:hint="default" w:ascii="Times New Roman" w:hAnsi="Times New Roman" w:eastAsia="方正仿宋_GBK" w:cs="Times New Roman"/>
          <w:sz w:val="32"/>
          <w:szCs w:val="32"/>
        </w:rPr>
        <w:t>标本运输过程中未按规定使用冷链设备，或未能提供全程温湿度监控记录的，每次扣10分。</w:t>
      </w:r>
    </w:p>
    <w:p w14:paraId="580288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③</w:t>
      </w:r>
      <w:r>
        <w:rPr>
          <w:rFonts w:hint="default" w:ascii="Times New Roman" w:hAnsi="Times New Roman" w:eastAsia="方正仿宋_GBK" w:cs="Times New Roman"/>
          <w:sz w:val="32"/>
          <w:szCs w:val="32"/>
        </w:rPr>
        <w:t>发生标本丢失、严重溶血/脂血/污染等因物流原因导致无法检测的，每次扣10分。</w:t>
      </w:r>
    </w:p>
    <w:p w14:paraId="2294100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信息系统与客户服务（10分）</w:t>
      </w:r>
    </w:p>
    <w:p w14:paraId="31828D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①</w:t>
      </w:r>
      <w:r>
        <w:rPr>
          <w:rFonts w:hint="default" w:ascii="Times New Roman" w:hAnsi="Times New Roman" w:eastAsia="方正仿宋_GBK" w:cs="Times New Roman"/>
          <w:sz w:val="32"/>
          <w:szCs w:val="32"/>
        </w:rPr>
        <w:t>线上报告查询系统出现故障，未能在2小时内响应并修复的，每次扣3分。</w:t>
      </w:r>
    </w:p>
    <w:p w14:paraId="14D200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②</w:t>
      </w:r>
      <w:r>
        <w:rPr>
          <w:rFonts w:hint="default" w:ascii="Times New Roman" w:hAnsi="Times New Roman" w:eastAsia="方正仿宋_GBK" w:cs="Times New Roman"/>
          <w:sz w:val="32"/>
          <w:szCs w:val="32"/>
        </w:rPr>
        <w:t>未按要求提供科研协助或教学指导的，每次扣2分。</w:t>
      </w:r>
    </w:p>
    <w:p w14:paraId="5BA2A2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合规与保密管理（10分）</w:t>
      </w:r>
    </w:p>
    <w:p w14:paraId="1AB68C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①</w:t>
      </w:r>
      <w:r>
        <w:rPr>
          <w:rFonts w:hint="default" w:ascii="Times New Roman" w:hAnsi="Times New Roman" w:eastAsia="方正仿宋_GBK" w:cs="Times New Roman"/>
          <w:sz w:val="32"/>
          <w:szCs w:val="32"/>
        </w:rPr>
        <w:t>违反患者隐私及医院数据安全保密规定的，每次扣10分。</w:t>
      </w:r>
    </w:p>
    <w:p w14:paraId="56A7F0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②</w:t>
      </w:r>
      <w:r>
        <w:rPr>
          <w:rFonts w:hint="default" w:ascii="Times New Roman" w:hAnsi="Times New Roman" w:eastAsia="方正仿宋_GBK" w:cs="Times New Roman"/>
          <w:sz w:val="32"/>
          <w:szCs w:val="32"/>
        </w:rPr>
        <w:t>实验室资质、人员配置发生重大变更未及时书面</w:t>
      </w:r>
      <w:r>
        <w:rPr>
          <w:rFonts w:hint="eastAsia" w:ascii="Times New Roman" w:hAnsi="Times New Roman" w:eastAsia="方正仿宋_GBK" w:cs="Times New Roman"/>
          <w:sz w:val="32"/>
          <w:szCs w:val="32"/>
          <w:lang w:val="en-US" w:eastAsia="zh-CN"/>
        </w:rPr>
        <w:t>通知</w:t>
      </w:r>
      <w:r>
        <w:rPr>
          <w:rFonts w:hint="default" w:ascii="Times New Roman" w:hAnsi="Times New Roman" w:eastAsia="方正仿宋_GBK" w:cs="Times New Roman"/>
          <w:sz w:val="32"/>
          <w:szCs w:val="32"/>
        </w:rPr>
        <w:t>的，每次扣5分。</w:t>
      </w:r>
    </w:p>
    <w:p w14:paraId="083122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第三章 考核结果应用与违约处理</w:t>
      </w:r>
    </w:p>
    <w:p w14:paraId="624EDA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rPr>
        <w:t>季度考核结果应用</w:t>
      </w:r>
    </w:p>
    <w:p w14:paraId="4E55AB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季度考核满分为100分，考核结果直接与当期服务费挂钩：</w:t>
      </w:r>
    </w:p>
    <w:p w14:paraId="6D59CA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①</w:t>
      </w:r>
      <w:r>
        <w:rPr>
          <w:rFonts w:hint="eastAsia" w:ascii="方正仿宋_GBK" w:hAnsi="方正仿宋_GBK" w:eastAsia="方正仿宋_GBK" w:cs="方正仿宋_GBK"/>
          <w:sz w:val="32"/>
          <w:szCs w:val="32"/>
        </w:rPr>
        <w:t>得分≥90分：全额支付当季检验费用。</w:t>
      </w:r>
    </w:p>
    <w:p w14:paraId="66683A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②</w:t>
      </w:r>
      <w:r>
        <w:rPr>
          <w:rFonts w:hint="eastAsia" w:ascii="方正仿宋_GBK" w:hAnsi="方正仿宋_GBK" w:eastAsia="方正仿宋_GBK" w:cs="方正仿宋_GBK"/>
          <w:sz w:val="32"/>
          <w:szCs w:val="32"/>
        </w:rPr>
        <w:t>80分≤得分＜90分：扣除当季检验费用的5%作为违约金。</w:t>
      </w:r>
    </w:p>
    <w:p w14:paraId="531D531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sz w:val="32"/>
          <w:szCs w:val="32"/>
          <w:lang w:val="en-US" w:eastAsia="zh-CN"/>
        </w:rPr>
        <w:t>③</w:t>
      </w:r>
      <w:r>
        <w:rPr>
          <w:rFonts w:hint="eastAsia" w:ascii="方正仿宋_GBK" w:hAnsi="方正仿宋_GBK" w:eastAsia="方正仿宋_GBK" w:cs="方正仿宋_GBK"/>
          <w:sz w:val="32"/>
          <w:szCs w:val="32"/>
        </w:rPr>
        <w:t>70分≤得分＜80分：扣除当季检验费用的10%作为违约金，并向供应商下发《限期整改通知书》。</w:t>
      </w:r>
    </w:p>
    <w:p w14:paraId="060584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④得分＜70分：</w:t>
      </w:r>
      <w:r>
        <w:rPr>
          <w:rFonts w:hint="eastAsia" w:ascii="方正仿宋_GBK" w:hAnsi="方正仿宋_GBK" w:eastAsia="方正仿宋_GBK" w:cs="方正仿宋_GBK"/>
          <w:sz w:val="32"/>
          <w:szCs w:val="32"/>
          <w:lang w:val="en-US" w:eastAsia="zh-CN"/>
        </w:rPr>
        <w:t>考核为不合格</w:t>
      </w:r>
      <w:r>
        <w:rPr>
          <w:rFonts w:hint="eastAsia" w:ascii="方正仿宋_GBK" w:hAnsi="方正仿宋_GBK" w:eastAsia="方正仿宋_GBK" w:cs="方正仿宋_GBK"/>
          <w:sz w:val="32"/>
          <w:szCs w:val="32"/>
        </w:rPr>
        <w:t>扣除当季检验费用的20%作为违约金，采购人有权暂停新标本外送，直至整改验收合格。</w:t>
      </w:r>
    </w:p>
    <w:p w14:paraId="66D908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第六条 合同解除与终止情形</w:t>
      </w:r>
    </w:p>
    <w:p w14:paraId="2F5953D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供应商在履约过程中出现下列情形之一的，采购人有权单方解除或终止合同，没收履约保证金（如有），且不承担任何违约责任：</w:t>
      </w:r>
    </w:p>
    <w:p w14:paraId="4B4C71B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季度考核得分</w:t>
      </w:r>
      <w:r>
        <w:rPr>
          <w:rFonts w:hint="eastAsia" w:ascii="方正仿宋_GBK" w:hAnsi="方正仿宋_GBK" w:eastAsia="方正仿宋_GBK" w:cs="方正仿宋_GBK"/>
          <w:sz w:val="32"/>
          <w:szCs w:val="32"/>
          <w:lang w:val="en-US" w:eastAsia="zh-CN"/>
        </w:rPr>
        <w:t>累计</w:t>
      </w:r>
      <w:r>
        <w:rPr>
          <w:rFonts w:hint="eastAsia" w:ascii="方正仿宋_GBK" w:hAnsi="方正仿宋_GBK" w:eastAsia="方正仿宋_GBK" w:cs="方正仿宋_GBK"/>
          <w:sz w:val="32"/>
          <w:szCs w:val="32"/>
        </w:rPr>
        <w:t>2次低于70分；</w:t>
      </w:r>
    </w:p>
    <w:p w14:paraId="6AC016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2.</w:t>
      </w:r>
      <w:r>
        <w:rPr>
          <w:rFonts w:hint="eastAsia" w:ascii="方正仿宋_GBK" w:hAnsi="方正仿宋_GBK" w:eastAsia="方正仿宋_GBK" w:cs="方正仿宋_GBK"/>
          <w:sz w:val="32"/>
          <w:szCs w:val="32"/>
        </w:rPr>
        <w:t>发生因检验质量或标本管理问题导致的严重医疗事故，造成恶劣社会影响的；</w:t>
      </w:r>
    </w:p>
    <w:p w14:paraId="5C2D8E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3.</w:t>
      </w:r>
      <w:r>
        <w:rPr>
          <w:rFonts w:hint="eastAsia" w:ascii="方正仿宋_GBK" w:hAnsi="方正仿宋_GBK" w:eastAsia="方正仿宋_GBK" w:cs="方正仿宋_GBK"/>
          <w:sz w:val="32"/>
          <w:szCs w:val="32"/>
        </w:rPr>
        <w:t>拒不整改、逾期未完成整改，或整改后仍不符合磋商文件及合同要求的；</w:t>
      </w:r>
    </w:p>
    <w:p w14:paraId="642B65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存在转包、分包行为，或实际履约能力与响应文件承诺严重不符且弄虚作假的；</w:t>
      </w:r>
    </w:p>
    <w:p w14:paraId="4D2F83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严重违反保密协议，泄露患者隐私或医院商业秘密的。</w:t>
      </w:r>
    </w:p>
    <w:p w14:paraId="45761F4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第四章 考核程序与申诉</w:t>
      </w:r>
    </w:p>
    <w:p w14:paraId="1ACA689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一、</w:t>
      </w:r>
      <w:r>
        <w:rPr>
          <w:rFonts w:hint="eastAsia" w:ascii="方正楷体_GBK" w:hAnsi="方正楷体_GBK" w:eastAsia="方正楷体_GBK" w:cs="方正楷体_GBK"/>
          <w:sz w:val="32"/>
          <w:szCs w:val="32"/>
        </w:rPr>
        <w:t>考核实施</w:t>
      </w:r>
    </w:p>
    <w:p w14:paraId="186284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季度考核由采购人医务科牵头，联合病理科、医保科等相关部门组成考核小组。考核小组通过查阅系统数据、抽查质控记录、临床科室满意度调查等方式形成《季度履约考核评分表》。</w:t>
      </w:r>
    </w:p>
    <w:p w14:paraId="5282EF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二、异议申诉</w:t>
      </w:r>
    </w:p>
    <w:p w14:paraId="598204C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供应商对考核结果有异议的，应在收到考核结果通知后3个工作日内向采购人提出书面申诉。采购人应在收到申诉后5个工作日内组织复核，并将最终复核结果书面反馈给供应商。逾期未提出申诉的，视为认可考核结果。</w:t>
      </w:r>
    </w:p>
    <w:p w14:paraId="007183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第五章 附则</w:t>
      </w:r>
    </w:p>
    <w:p w14:paraId="047FC39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本办法作为《酉阳土家族苗族自治县人民医院分子病理检验外送服务竞争性磋商文件》及双方签订的服务合同的组成部分，具有同等法律效力。</w:t>
      </w:r>
    </w:p>
    <w:p w14:paraId="7CC58F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第十条 本办法自双方签订服务合同之日起生效，至合同期满终止。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477587"/>
    <w:rsid w:val="235A5E8C"/>
    <w:rsid w:val="30EC7553"/>
    <w:rsid w:val="6F600F73"/>
    <w:rsid w:val="7064352D"/>
    <w:rsid w:val="72AA2A5D"/>
    <w:rsid w:val="77B64FF5"/>
    <w:rsid w:val="7E597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758</Words>
  <Characters>773</Characters>
  <Lines>0</Lines>
  <Paragraphs>0</Paragraphs>
  <TotalTime>30</TotalTime>
  <ScaleCrop>false</ScaleCrop>
  <LinksUpToDate>false</LinksUpToDate>
  <CharactersWithSpaces>775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2026-09-01T07:23:00Z</dcterms:created>
  <dc:creator>Administrator</dc:creator>
  <cp:lastModifiedBy>Unicorn1416746445</cp:lastModifiedBy>
  <cp:lastPrinted>2026-09-01T08:17:00Z</cp:lastPrinted>
  <dcterms:modified xsi:type="dcterms:W3CDTF">2026-09-02T01:01:12Z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eyJoZGlkIjoiZTg1NjZmZDVjMWYwZjJjNDRiNzI3ODFjYjE0NGE5NjQiLCJ1c2VySWQiOiIyNTYwMjUyOSJ9</vt:lpwstr>
  </property>
  <property fmtid="{D5CDD505-2E9C-101B-9397-08002B2CF9AE}" pid="4" name="ICV">
    <vt:lpwstr>EBB3E6F9A47F41009014EE894FBE4F91_12</vt:lpwstr>
  </property>
</Properties>
</file>